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46095" w14:textId="77777777" w:rsidR="00DE7F31" w:rsidRPr="00977C44" w:rsidRDefault="00DE7F31" w:rsidP="00DE7F31">
      <w:pPr>
        <w:tabs>
          <w:tab w:val="right" w:pos="9720"/>
        </w:tabs>
        <w:spacing w:after="0" w:line="240" w:lineRule="auto"/>
        <w:rPr>
          <w:rFonts w:ascii="Open Sans Light" w:eastAsia="Times New Roman" w:hAnsi="Open Sans Light" w:cs="Open Sans Light"/>
          <w:noProof/>
          <w:sz w:val="20"/>
          <w:szCs w:val="20"/>
        </w:rPr>
      </w:pPr>
      <w:bookmarkStart w:id="0" w:name="_GoBack"/>
      <w:bookmarkEnd w:id="0"/>
      <w:r w:rsidRPr="00977C44">
        <w:rPr>
          <w:rFonts w:ascii="Open Sans Light" w:eastAsia="Times New Roman" w:hAnsi="Open Sans Light" w:cs="Open Sans Light"/>
          <w:sz w:val="20"/>
          <w:szCs w:val="20"/>
        </w:rPr>
        <w:t xml:space="preserve">Our Ref:  </w:t>
      </w:r>
      <w:r w:rsidRPr="00977C44">
        <w:rPr>
          <w:rFonts w:ascii="Open Sans Light" w:eastAsia="Times New Roman" w:hAnsi="Open Sans Light" w:cs="Open Sans Light"/>
          <w:noProof/>
          <w:sz w:val="20"/>
          <w:szCs w:val="20"/>
        </w:rPr>
        <w:t>103/153</w:t>
      </w:r>
    </w:p>
    <w:p w14:paraId="0FC9DFE4" w14:textId="77777777" w:rsidR="00DE7F31" w:rsidRPr="00977C44" w:rsidRDefault="00DE7F31" w:rsidP="00DE7F31">
      <w:pPr>
        <w:tabs>
          <w:tab w:val="right" w:pos="9720"/>
        </w:tabs>
        <w:spacing w:after="0" w:line="240" w:lineRule="auto"/>
        <w:rPr>
          <w:rFonts w:ascii="Open Sans Light" w:eastAsia="Times New Roman" w:hAnsi="Open Sans Light" w:cs="Open Sans Light"/>
          <w:sz w:val="20"/>
          <w:szCs w:val="20"/>
        </w:rPr>
      </w:pPr>
      <w:r w:rsidRPr="00977C44">
        <w:rPr>
          <w:rFonts w:ascii="Open Sans Light" w:eastAsia="Times New Roman" w:hAnsi="Open Sans Light" w:cs="Open Sans Light"/>
          <w:sz w:val="20"/>
          <w:szCs w:val="20"/>
        </w:rPr>
        <w:t>Your Ref: SSC_2019_MAITL_001_00</w:t>
      </w:r>
    </w:p>
    <w:p w14:paraId="4E9EE44D" w14:textId="77777777" w:rsidR="00DE7F31" w:rsidRPr="00977C44" w:rsidRDefault="00DE7F31" w:rsidP="00DE7F31">
      <w:pPr>
        <w:tabs>
          <w:tab w:val="right" w:pos="9720"/>
        </w:tabs>
        <w:spacing w:after="0" w:line="240" w:lineRule="auto"/>
        <w:rPr>
          <w:rFonts w:ascii="Open Sans Light" w:eastAsia="Times New Roman" w:hAnsi="Open Sans Light" w:cs="Open Sans Light"/>
          <w:sz w:val="20"/>
          <w:szCs w:val="20"/>
        </w:rPr>
      </w:pPr>
    </w:p>
    <w:p w14:paraId="40A939D6" w14:textId="77777777" w:rsidR="00DE7F31" w:rsidRPr="00977C44" w:rsidRDefault="00DE7F31" w:rsidP="00DE7F31">
      <w:pPr>
        <w:tabs>
          <w:tab w:val="left" w:pos="1418"/>
          <w:tab w:val="right" w:pos="9720"/>
        </w:tabs>
        <w:spacing w:after="0" w:line="240" w:lineRule="auto"/>
        <w:rPr>
          <w:rFonts w:ascii="Open Sans Light" w:eastAsia="Times New Roman" w:hAnsi="Open Sans Light" w:cs="Open Sans Light"/>
          <w:noProof/>
          <w:sz w:val="20"/>
          <w:szCs w:val="20"/>
        </w:rPr>
      </w:pPr>
      <w:r w:rsidRPr="00977C44">
        <w:rPr>
          <w:rFonts w:ascii="Open Sans Light" w:eastAsia="Times New Roman" w:hAnsi="Open Sans Light" w:cs="Open Sans Light"/>
          <w:sz w:val="20"/>
          <w:szCs w:val="20"/>
        </w:rPr>
        <w:t>Phone Enquiries:</w:t>
      </w:r>
      <w:r w:rsidRPr="00977C44">
        <w:rPr>
          <w:rFonts w:ascii="Open Sans Light" w:eastAsia="Times New Roman" w:hAnsi="Open Sans Light" w:cs="Open Sans Light"/>
          <w:noProof/>
          <w:sz w:val="20"/>
          <w:szCs w:val="20"/>
        </w:rPr>
        <w:t xml:space="preserve"> Mark Roser</w:t>
      </w:r>
    </w:p>
    <w:p w14:paraId="371C94BE" w14:textId="77777777" w:rsidR="00DE7F31" w:rsidRPr="00977C44" w:rsidRDefault="00DE7F31" w:rsidP="00DE7F31">
      <w:pPr>
        <w:tabs>
          <w:tab w:val="left" w:pos="1418"/>
          <w:tab w:val="right" w:pos="9720"/>
        </w:tabs>
        <w:spacing w:after="0" w:line="240" w:lineRule="auto"/>
        <w:rPr>
          <w:rFonts w:ascii="Open Sans Light" w:eastAsia="Times New Roman" w:hAnsi="Open Sans Light" w:cs="Open Sans Light"/>
          <w:sz w:val="20"/>
          <w:szCs w:val="20"/>
        </w:rPr>
      </w:pPr>
      <w:r w:rsidRPr="00977C44">
        <w:rPr>
          <w:rFonts w:ascii="Open Sans Light" w:eastAsia="Times New Roman" w:hAnsi="Open Sans Light" w:cs="Open Sans Light"/>
          <w:sz w:val="20"/>
          <w:szCs w:val="20"/>
        </w:rPr>
        <w:t>4934 9700</w:t>
      </w:r>
    </w:p>
    <w:p w14:paraId="5E831A3C" w14:textId="77777777" w:rsidR="00DE7F31" w:rsidRPr="00977C44" w:rsidRDefault="00DE7F31" w:rsidP="00DE7F31">
      <w:pPr>
        <w:tabs>
          <w:tab w:val="left" w:pos="1418"/>
          <w:tab w:val="right" w:pos="9720"/>
        </w:tabs>
        <w:spacing w:after="0" w:line="240" w:lineRule="auto"/>
        <w:rPr>
          <w:rFonts w:ascii="Open Sans Light" w:eastAsia="Times New Roman" w:hAnsi="Open Sans Light" w:cs="Open Sans Light"/>
          <w:bCs/>
          <w:sz w:val="20"/>
          <w:szCs w:val="20"/>
        </w:rPr>
      </w:pPr>
      <w:r w:rsidRPr="00977C44">
        <w:rPr>
          <w:rFonts w:ascii="Open Sans Light" w:eastAsia="Times New Roman" w:hAnsi="Open Sans Light" w:cs="Open Sans Light"/>
          <w:noProof/>
          <w:sz w:val="20"/>
          <w:szCs w:val="20"/>
        </w:rPr>
        <w:t xml:space="preserve">  </w:t>
      </w:r>
    </w:p>
    <w:p w14:paraId="66924823" w14:textId="77777777" w:rsidR="00DE7F31" w:rsidRPr="00977C44" w:rsidRDefault="00DE7F31" w:rsidP="00DE7F31">
      <w:pPr>
        <w:spacing w:after="0" w:line="240" w:lineRule="auto"/>
        <w:rPr>
          <w:rFonts w:ascii="Open Sans Light" w:eastAsia="Times New Roman" w:hAnsi="Open Sans Light" w:cs="Open Sans Light"/>
        </w:rPr>
      </w:pPr>
    </w:p>
    <w:p w14:paraId="14E6467A" w14:textId="2E3C84E4" w:rsidR="00DE7F31" w:rsidRPr="00977C44" w:rsidRDefault="00D5649C" w:rsidP="00DE7F31">
      <w:pPr>
        <w:spacing w:after="0" w:line="240" w:lineRule="auto"/>
        <w:rPr>
          <w:rFonts w:ascii="Open Sans Light" w:eastAsia="Times New Roman" w:hAnsi="Open Sans Light" w:cs="Open Sans Light"/>
        </w:rPr>
      </w:pPr>
      <w:r>
        <w:rPr>
          <w:rFonts w:ascii="Open Sans Light" w:eastAsia="Times New Roman" w:hAnsi="Open Sans Light" w:cs="Open Sans Light"/>
          <w:noProof/>
        </w:rPr>
        <w:t>30</w:t>
      </w:r>
      <w:r w:rsidR="00DE7F31" w:rsidRPr="00977C44">
        <w:rPr>
          <w:rFonts w:ascii="Open Sans Light" w:eastAsia="Times New Roman" w:hAnsi="Open Sans Light" w:cs="Open Sans Light"/>
          <w:noProof/>
        </w:rPr>
        <w:t xml:space="preserve"> </w:t>
      </w:r>
      <w:r>
        <w:rPr>
          <w:rFonts w:ascii="Open Sans Light" w:eastAsia="Times New Roman" w:hAnsi="Open Sans Light" w:cs="Open Sans Light"/>
          <w:noProof/>
        </w:rPr>
        <w:t>November</w:t>
      </w:r>
      <w:r w:rsidR="00DE7F31" w:rsidRPr="00977C44">
        <w:rPr>
          <w:rFonts w:ascii="Open Sans Light" w:eastAsia="Times New Roman" w:hAnsi="Open Sans Light" w:cs="Open Sans Light"/>
          <w:noProof/>
        </w:rPr>
        <w:t xml:space="preserve"> 20</w:t>
      </w:r>
      <w:r w:rsidR="00415830">
        <w:rPr>
          <w:rFonts w:ascii="Open Sans Light" w:eastAsia="Times New Roman" w:hAnsi="Open Sans Light" w:cs="Open Sans Light"/>
          <w:noProof/>
        </w:rPr>
        <w:t>20</w:t>
      </w:r>
    </w:p>
    <w:p w14:paraId="612A6F0A" w14:textId="77777777" w:rsidR="00DE7F31" w:rsidRPr="00977C44" w:rsidRDefault="00DE7F31" w:rsidP="00DE7F31">
      <w:pPr>
        <w:spacing w:after="0" w:line="240" w:lineRule="auto"/>
        <w:rPr>
          <w:rFonts w:ascii="Open Sans Light" w:eastAsia="Times New Roman" w:hAnsi="Open Sans Light" w:cs="Open Sans Light"/>
        </w:rPr>
      </w:pPr>
    </w:p>
    <w:p w14:paraId="33F2BFBB" w14:textId="77777777" w:rsidR="00DE7F31" w:rsidRPr="00977C44" w:rsidRDefault="00DE7F31" w:rsidP="00DE7F31">
      <w:pPr>
        <w:spacing w:after="0" w:line="240" w:lineRule="auto"/>
        <w:rPr>
          <w:rFonts w:ascii="Open Sans Light" w:eastAsia="Times New Roman" w:hAnsi="Open Sans Light" w:cs="Open Sans Light"/>
          <w:noProof/>
        </w:rPr>
      </w:pPr>
      <w:r w:rsidRPr="00977C44">
        <w:rPr>
          <w:rFonts w:ascii="Open Sans Light" w:eastAsia="Times New Roman" w:hAnsi="Open Sans Light" w:cs="Open Sans Light"/>
          <w:noProof/>
        </w:rPr>
        <w:t>Department of Planning Industry &amp; Environment</w:t>
      </w:r>
    </w:p>
    <w:p w14:paraId="02B22E65" w14:textId="77777777" w:rsidR="00DE7F31" w:rsidRPr="00977C44" w:rsidRDefault="00DE7F31" w:rsidP="00DE7F31">
      <w:pPr>
        <w:spacing w:after="0" w:line="240" w:lineRule="auto"/>
        <w:rPr>
          <w:rFonts w:ascii="Open Sans Light" w:eastAsia="Times New Roman" w:hAnsi="Open Sans Light" w:cs="Open Sans Light"/>
          <w:noProof/>
        </w:rPr>
      </w:pPr>
      <w:r w:rsidRPr="00977C44">
        <w:rPr>
          <w:rFonts w:ascii="Open Sans Light" w:eastAsia="Times New Roman" w:hAnsi="Open Sans Light" w:cs="Open Sans Light"/>
          <w:noProof/>
        </w:rPr>
        <w:t>Hunter Region</w:t>
      </w:r>
    </w:p>
    <w:p w14:paraId="08AA9AC8" w14:textId="77777777" w:rsidR="00DE7F31" w:rsidRPr="00977C44" w:rsidRDefault="00DE7F31" w:rsidP="00DE7F31">
      <w:pPr>
        <w:spacing w:after="0" w:line="240" w:lineRule="auto"/>
        <w:rPr>
          <w:rFonts w:ascii="Open Sans Light" w:eastAsia="Times New Roman" w:hAnsi="Open Sans Light" w:cs="Open Sans Light"/>
          <w:noProof/>
        </w:rPr>
      </w:pPr>
      <w:r w:rsidRPr="00977C44">
        <w:rPr>
          <w:rFonts w:ascii="Open Sans Light" w:eastAsia="Times New Roman" w:hAnsi="Open Sans Light" w:cs="Open Sans Light"/>
          <w:noProof/>
        </w:rPr>
        <w:t>PO Box 1226</w:t>
      </w:r>
    </w:p>
    <w:p w14:paraId="1400A614" w14:textId="77777777" w:rsidR="00DE7F31" w:rsidRPr="00977C44" w:rsidRDefault="00DE7F31" w:rsidP="00DE7F31">
      <w:pPr>
        <w:spacing w:after="0" w:line="240" w:lineRule="auto"/>
        <w:rPr>
          <w:rFonts w:ascii="Open Sans Light" w:eastAsia="Times New Roman" w:hAnsi="Open Sans Light" w:cs="Open Sans Light"/>
          <w:noProof/>
        </w:rPr>
      </w:pPr>
      <w:r w:rsidRPr="00977C44">
        <w:rPr>
          <w:rFonts w:ascii="Open Sans Light" w:eastAsia="Times New Roman" w:hAnsi="Open Sans Light" w:cs="Open Sans Light"/>
          <w:noProof/>
        </w:rPr>
        <w:t>NEWCASTLE 2300</w:t>
      </w:r>
    </w:p>
    <w:p w14:paraId="77F0194E" w14:textId="77777777" w:rsidR="00DE7F31" w:rsidRPr="00977C44" w:rsidRDefault="00DE7F31" w:rsidP="00DE7F31">
      <w:pPr>
        <w:spacing w:after="0" w:line="240" w:lineRule="auto"/>
        <w:rPr>
          <w:rFonts w:ascii="Open Sans Light" w:eastAsia="Times New Roman" w:hAnsi="Open Sans Light" w:cs="Open Sans Light"/>
        </w:rPr>
      </w:pPr>
    </w:p>
    <w:p w14:paraId="5107C44D" w14:textId="77777777" w:rsidR="00DE7F31" w:rsidRPr="00977C44" w:rsidRDefault="00DE7F31" w:rsidP="00DE7F31">
      <w:pPr>
        <w:spacing w:after="0" w:line="240" w:lineRule="auto"/>
        <w:rPr>
          <w:rFonts w:ascii="Open Sans Light" w:eastAsia="Times New Roman" w:hAnsi="Open Sans Light" w:cs="Open Sans Light"/>
        </w:rPr>
      </w:pPr>
      <w:r w:rsidRPr="00977C44">
        <w:rPr>
          <w:rFonts w:ascii="Open Sans Light" w:eastAsia="Times New Roman" w:hAnsi="Open Sans Light" w:cs="Open Sans Light"/>
        </w:rPr>
        <w:t>Att: Ken Phelan</w:t>
      </w:r>
    </w:p>
    <w:p w14:paraId="3202A30D" w14:textId="77777777" w:rsidR="00DE7F31" w:rsidRPr="00804682" w:rsidRDefault="00DE7F31" w:rsidP="00DE7F31">
      <w:pPr>
        <w:spacing w:after="0" w:line="240" w:lineRule="auto"/>
        <w:rPr>
          <w:rFonts w:ascii="Open Sans Light" w:eastAsia="Times New Roman" w:hAnsi="Open Sans Light" w:cs="Open Sans Light"/>
          <w:sz w:val="20"/>
          <w:szCs w:val="20"/>
        </w:rPr>
      </w:pPr>
    </w:p>
    <w:p w14:paraId="2A3604D6" w14:textId="77777777" w:rsidR="00DE7F31" w:rsidRDefault="00DE7F31" w:rsidP="00DE7F31">
      <w:pPr>
        <w:spacing w:after="0" w:line="240" w:lineRule="auto"/>
        <w:rPr>
          <w:rFonts w:ascii="Open Sans" w:eastAsia="Times New Roman" w:hAnsi="Open Sans" w:cs="Open Sans"/>
          <w:b/>
        </w:rPr>
      </w:pPr>
      <w:r>
        <w:rPr>
          <w:rFonts w:ascii="Open Sans" w:eastAsia="Times New Roman" w:hAnsi="Open Sans" w:cs="Open Sans"/>
          <w:b/>
        </w:rPr>
        <w:t>RE: SITE COMPATIBILITY CERTIFICATE FOR SENIORS HOUSING AT 474 PHOENIX PARK RD BEING LOT 3 DP 807949</w:t>
      </w:r>
      <w:r w:rsidR="003B1614">
        <w:rPr>
          <w:rFonts w:ascii="Open Sans" w:eastAsia="Times New Roman" w:hAnsi="Open Sans" w:cs="Open Sans"/>
          <w:b/>
        </w:rPr>
        <w:t xml:space="preserve"> LARGS</w:t>
      </w:r>
    </w:p>
    <w:p w14:paraId="75645AC8" w14:textId="77777777" w:rsidR="00DE7F31" w:rsidRPr="00804682" w:rsidRDefault="00DE7F31" w:rsidP="00DE7F31">
      <w:pPr>
        <w:spacing w:after="0" w:line="240" w:lineRule="auto"/>
        <w:rPr>
          <w:rFonts w:ascii="Open Sans Light" w:eastAsia="Times New Roman" w:hAnsi="Open Sans Light" w:cs="Open Sans Light"/>
        </w:rPr>
      </w:pPr>
    </w:p>
    <w:p w14:paraId="25FBB114" w14:textId="77777777" w:rsidR="00977C44" w:rsidRPr="00977C44" w:rsidRDefault="00DE7F31" w:rsidP="00977C44">
      <w:pPr>
        <w:tabs>
          <w:tab w:val="left" w:pos="6660"/>
        </w:tabs>
        <w:jc w:val="both"/>
        <w:rPr>
          <w:rFonts w:ascii="Open Sans Light" w:eastAsia="Times New Roman" w:hAnsi="Open Sans Light" w:cs="Open Sans Light"/>
        </w:rPr>
      </w:pPr>
      <w:r w:rsidRPr="00977C44">
        <w:rPr>
          <w:rFonts w:ascii="Open Sans Light" w:eastAsia="Times New Roman" w:hAnsi="Open Sans Light" w:cs="Open Sans Light"/>
        </w:rPr>
        <w:t xml:space="preserve">I refer to your letter to Council dated 7 August 2019 requesting comments from Council on the consistency of the proposal with the criteria in clause 25(5) of the Housing for Seniors or People with a Disability SEPP. </w:t>
      </w:r>
    </w:p>
    <w:p w14:paraId="43C52102" w14:textId="74267A57" w:rsidR="00977C44" w:rsidRPr="00977C44" w:rsidRDefault="00977C44" w:rsidP="00977C44">
      <w:pPr>
        <w:tabs>
          <w:tab w:val="left" w:pos="6660"/>
        </w:tabs>
        <w:spacing w:after="0" w:line="240" w:lineRule="auto"/>
        <w:jc w:val="both"/>
        <w:rPr>
          <w:rFonts w:ascii="Open Sans Light" w:eastAsia="Times New Roman" w:hAnsi="Open Sans Light" w:cs="Open Sans Light"/>
        </w:rPr>
      </w:pPr>
      <w:r w:rsidRPr="00977C44">
        <w:rPr>
          <w:rFonts w:ascii="Open Sans Light" w:eastAsia="Times New Roman" w:hAnsi="Open Sans Light" w:cs="Open Sans Light"/>
        </w:rPr>
        <w:t>Council has viewed the material supporting the application. The following comments are provided for your consideration in determining the consistency of the proposal with clauses 24(2) and 25(5)(b) of the SEPP.</w:t>
      </w:r>
      <w:r w:rsidR="00415830">
        <w:rPr>
          <w:rFonts w:ascii="Open Sans Light" w:eastAsia="Times New Roman" w:hAnsi="Open Sans Light" w:cs="Open Sans Light"/>
        </w:rPr>
        <w:t xml:space="preserve"> It is noted that the proposal is largely identical to a request for SCC lodged for the land in November 2019. As such, this letter largely repeats these comments. </w:t>
      </w:r>
    </w:p>
    <w:p w14:paraId="7C903445" w14:textId="77777777" w:rsidR="00DE7F31" w:rsidRDefault="00DE7F31" w:rsidP="00DE7F31">
      <w:pPr>
        <w:spacing w:after="0" w:line="240" w:lineRule="auto"/>
        <w:jc w:val="both"/>
        <w:rPr>
          <w:rFonts w:ascii="Open Sans Light" w:eastAsia="Times New Roman" w:hAnsi="Open Sans Light" w:cs="Open Sans Light"/>
          <w:sz w:val="20"/>
          <w:szCs w:val="20"/>
        </w:rPr>
      </w:pPr>
    </w:p>
    <w:p w14:paraId="5CC6F285" w14:textId="77777777" w:rsidR="00EF5B1E" w:rsidRPr="003E4595" w:rsidRDefault="00EF5B1E" w:rsidP="00DE7F31">
      <w:pPr>
        <w:spacing w:after="0" w:line="240" w:lineRule="auto"/>
        <w:jc w:val="both"/>
        <w:rPr>
          <w:rFonts w:ascii="Open Sans Light" w:eastAsia="Times New Roman" w:hAnsi="Open Sans Light" w:cs="Open Sans Light"/>
          <w:b/>
          <w:u w:val="single"/>
        </w:rPr>
      </w:pPr>
      <w:r w:rsidRPr="003E4595">
        <w:rPr>
          <w:rFonts w:ascii="Open Sans Light" w:eastAsia="Times New Roman" w:hAnsi="Open Sans Light" w:cs="Open Sans Light"/>
          <w:b/>
          <w:u w:val="single"/>
        </w:rPr>
        <w:t>Strategic Context</w:t>
      </w:r>
    </w:p>
    <w:p w14:paraId="5752B441" w14:textId="77777777" w:rsidR="00C25C8B" w:rsidRPr="00977C44" w:rsidRDefault="00C25C8B" w:rsidP="00DE7F31">
      <w:pPr>
        <w:spacing w:after="0" w:line="240" w:lineRule="auto"/>
        <w:jc w:val="both"/>
        <w:rPr>
          <w:rFonts w:ascii="Open Sans Light" w:eastAsia="Times New Roman" w:hAnsi="Open Sans Light" w:cs="Open Sans Light"/>
        </w:rPr>
      </w:pPr>
    </w:p>
    <w:p w14:paraId="1AD9F696" w14:textId="77777777" w:rsidR="00C60C04" w:rsidRDefault="00DE7F31" w:rsidP="00C60C04">
      <w:pPr>
        <w:pStyle w:val="ListParagraph"/>
        <w:numPr>
          <w:ilvl w:val="0"/>
          <w:numId w:val="1"/>
        </w:numPr>
        <w:spacing w:after="0" w:line="240" w:lineRule="auto"/>
        <w:ind w:hanging="720"/>
        <w:jc w:val="both"/>
        <w:rPr>
          <w:rFonts w:ascii="Open Sans Light" w:eastAsia="Times New Roman" w:hAnsi="Open Sans Light" w:cs="Open Sans Light"/>
        </w:rPr>
      </w:pPr>
      <w:r>
        <w:rPr>
          <w:rFonts w:ascii="Open Sans Light" w:eastAsia="Times New Roman" w:hAnsi="Open Sans Light" w:cs="Open Sans Light"/>
          <w:sz w:val="20"/>
          <w:szCs w:val="20"/>
        </w:rPr>
        <w:t xml:space="preserve"> </w:t>
      </w:r>
      <w:r w:rsidR="00C60C04">
        <w:rPr>
          <w:rFonts w:ascii="Open Sans Light" w:eastAsia="Times New Roman" w:hAnsi="Open Sans Light" w:cs="Open Sans Light"/>
        </w:rPr>
        <w:t xml:space="preserve">The subject land is located within the agricultural corridor of </w:t>
      </w:r>
      <w:r w:rsidR="003E4595">
        <w:rPr>
          <w:rFonts w:ascii="Open Sans Light" w:eastAsia="Times New Roman" w:hAnsi="Open Sans Light" w:cs="Open Sans Light"/>
        </w:rPr>
        <w:t>the Hunter River,</w:t>
      </w:r>
      <w:r w:rsidR="00C60C04">
        <w:rPr>
          <w:rFonts w:ascii="Open Sans Light" w:eastAsia="Times New Roman" w:hAnsi="Open Sans Light" w:cs="Open Sans Light"/>
        </w:rPr>
        <w:t xml:space="preserve"> between the villages of Morpeth and Largs. The site is situated on the eastern edge of the older residential area of Largs and extends into the Hunter and Paterson River flood plain.</w:t>
      </w:r>
    </w:p>
    <w:p w14:paraId="36D58B38" w14:textId="77777777" w:rsidR="00C60C04" w:rsidRDefault="00C60C04" w:rsidP="00C60C04">
      <w:pPr>
        <w:pStyle w:val="ListParagraph"/>
        <w:spacing w:after="0" w:line="240" w:lineRule="auto"/>
        <w:jc w:val="both"/>
        <w:rPr>
          <w:rFonts w:ascii="Open Sans Light" w:eastAsia="Times New Roman" w:hAnsi="Open Sans Light" w:cs="Open Sans Light"/>
        </w:rPr>
      </w:pPr>
    </w:p>
    <w:p w14:paraId="394ABC0F" w14:textId="77777777" w:rsidR="00C60C04" w:rsidRDefault="00C60C04" w:rsidP="00C60C04">
      <w:pPr>
        <w:pStyle w:val="ListParagraph"/>
        <w:spacing w:after="0" w:line="240" w:lineRule="auto"/>
        <w:jc w:val="both"/>
        <w:rPr>
          <w:rFonts w:ascii="Open Sans Light" w:eastAsia="Times New Roman" w:hAnsi="Open Sans Light" w:cs="Open Sans Light"/>
        </w:rPr>
      </w:pPr>
      <w:r>
        <w:rPr>
          <w:rFonts w:ascii="Open Sans Light" w:eastAsia="Times New Roman" w:hAnsi="Open Sans Light" w:cs="Open Sans Light"/>
        </w:rPr>
        <w:t>Whilst urban expansion is occur</w:t>
      </w:r>
      <w:r w:rsidR="003E4595">
        <w:rPr>
          <w:rFonts w:ascii="Open Sans Light" w:eastAsia="Times New Roman" w:hAnsi="Open Sans Light" w:cs="Open Sans Light"/>
        </w:rPr>
        <w:t>ring in the Largs and Bolwarra H</w:t>
      </w:r>
      <w:r>
        <w:rPr>
          <w:rFonts w:ascii="Open Sans Light" w:eastAsia="Times New Roman" w:hAnsi="Open Sans Light" w:cs="Open Sans Light"/>
        </w:rPr>
        <w:t>eights areas, this is mainly to the north and west. Suitably zoned vacant residential land is available in these growth areas to accommodate seniors housing development. The Greater Newcastle Metropolitan Plan 2036 and Maitland Urban Settlement Strategy do not identify urban growth in this direction. The issue of providing urban growth, in the form of seniors housing, in predominantly rural areas without having the benefit of more holistic planning is an issue that has previously been raised by Council. The consideration of such proposals through a broader strategic c</w:t>
      </w:r>
      <w:r w:rsidR="00DD0503">
        <w:rPr>
          <w:rFonts w:ascii="Open Sans Light" w:eastAsia="Times New Roman" w:hAnsi="Open Sans Light" w:cs="Open Sans Light"/>
        </w:rPr>
        <w:t>ontext which properly considers</w:t>
      </w:r>
      <w:r>
        <w:rPr>
          <w:rFonts w:ascii="Open Sans Light" w:eastAsia="Times New Roman" w:hAnsi="Open Sans Light" w:cs="Open Sans Light"/>
        </w:rPr>
        <w:t xml:space="preserve"> and balances </w:t>
      </w:r>
      <w:r w:rsidR="00153478">
        <w:rPr>
          <w:rFonts w:ascii="Open Sans Light" w:eastAsia="Times New Roman" w:hAnsi="Open Sans Light" w:cs="Open Sans Light"/>
        </w:rPr>
        <w:t>the various constraints an</w:t>
      </w:r>
      <w:r w:rsidR="00DD0503">
        <w:rPr>
          <w:rFonts w:ascii="Open Sans Light" w:eastAsia="Times New Roman" w:hAnsi="Open Sans Light" w:cs="Open Sans Light"/>
        </w:rPr>
        <w:t>d</w:t>
      </w:r>
      <w:r w:rsidR="00153478">
        <w:rPr>
          <w:rFonts w:ascii="Open Sans Light" w:eastAsia="Times New Roman" w:hAnsi="Open Sans Light" w:cs="Open Sans Light"/>
        </w:rPr>
        <w:t xml:space="preserve"> opportunities of the wider area needs to occur. </w:t>
      </w:r>
    </w:p>
    <w:p w14:paraId="031D67B1" w14:textId="77777777" w:rsidR="00153478" w:rsidRDefault="00153478" w:rsidP="00C60C04">
      <w:pPr>
        <w:pStyle w:val="ListParagraph"/>
        <w:spacing w:after="0" w:line="240" w:lineRule="auto"/>
        <w:jc w:val="both"/>
        <w:rPr>
          <w:rFonts w:ascii="Open Sans Light" w:eastAsia="Times New Roman" w:hAnsi="Open Sans Light" w:cs="Open Sans Light"/>
        </w:rPr>
      </w:pPr>
    </w:p>
    <w:p w14:paraId="1A1F956B" w14:textId="77777777" w:rsidR="00153478" w:rsidRDefault="00153478" w:rsidP="00C60C04">
      <w:pPr>
        <w:pStyle w:val="ListParagraph"/>
        <w:spacing w:after="0" w:line="240" w:lineRule="auto"/>
        <w:jc w:val="both"/>
        <w:rPr>
          <w:rFonts w:ascii="Open Sans Light" w:eastAsia="Times New Roman" w:hAnsi="Open Sans Light" w:cs="Open Sans Light"/>
        </w:rPr>
      </w:pPr>
      <w:r>
        <w:rPr>
          <w:rFonts w:ascii="Open Sans Light" w:eastAsia="Times New Roman" w:hAnsi="Open Sans Light" w:cs="Open Sans Light"/>
        </w:rPr>
        <w:lastRenderedPageBreak/>
        <w:t>The proposal does not form a logical or direct extension to land zoned for urban purposes. Instead it would intrude into the rural landscape with only a minor connection point to residential land fronting Phoenix Park Rd.</w:t>
      </w:r>
    </w:p>
    <w:p w14:paraId="48B3F27B" w14:textId="77777777" w:rsidR="00DD0503" w:rsidRDefault="00DD0503" w:rsidP="00C60C04">
      <w:pPr>
        <w:pStyle w:val="ListParagraph"/>
        <w:spacing w:after="0" w:line="240" w:lineRule="auto"/>
        <w:jc w:val="both"/>
        <w:rPr>
          <w:rFonts w:ascii="Open Sans Light" w:eastAsia="Times New Roman" w:hAnsi="Open Sans Light" w:cs="Open Sans Light"/>
        </w:rPr>
      </w:pPr>
    </w:p>
    <w:p w14:paraId="3A6A238A" w14:textId="77777777" w:rsidR="00DD0503" w:rsidRPr="00C60C04" w:rsidRDefault="00DD0503" w:rsidP="00C60C04">
      <w:pPr>
        <w:pStyle w:val="ListParagraph"/>
        <w:spacing w:after="0" w:line="240" w:lineRule="auto"/>
        <w:jc w:val="both"/>
        <w:rPr>
          <w:rFonts w:ascii="Open Sans Light" w:eastAsia="Times New Roman" w:hAnsi="Open Sans Light" w:cs="Open Sans Light"/>
        </w:rPr>
      </w:pPr>
      <w:r>
        <w:rPr>
          <w:rFonts w:ascii="Open Sans Light" w:eastAsia="Times New Roman" w:hAnsi="Open Sans Light" w:cs="Open Sans Light"/>
        </w:rPr>
        <w:t>Both the GNMP and MUSS direct future urban growth toward a more compact sustainable development outcome. This can be achieved through “infill” type development utilising existing infrastructure and increasing population around growth centres and transport nodes. The proposal deviates from this principle.</w:t>
      </w:r>
    </w:p>
    <w:p w14:paraId="14E22A38" w14:textId="77777777" w:rsidR="00DE7F31" w:rsidRPr="00977C44" w:rsidRDefault="00DE7F31" w:rsidP="00DE7F31">
      <w:pPr>
        <w:pStyle w:val="ListParagraph"/>
        <w:spacing w:after="0" w:line="240" w:lineRule="auto"/>
        <w:jc w:val="both"/>
        <w:rPr>
          <w:rFonts w:ascii="Open Sans Light" w:eastAsia="Times New Roman" w:hAnsi="Open Sans Light" w:cs="Open Sans Light"/>
        </w:rPr>
      </w:pPr>
      <w:r w:rsidRPr="00977C44">
        <w:rPr>
          <w:rFonts w:ascii="Open Sans Light" w:eastAsia="Times New Roman" w:hAnsi="Open Sans Light" w:cs="Open Sans Light"/>
        </w:rPr>
        <w:t xml:space="preserve"> </w:t>
      </w:r>
    </w:p>
    <w:p w14:paraId="437A6BF4" w14:textId="77777777" w:rsidR="00DE7F31" w:rsidRDefault="003E4595" w:rsidP="003E4595">
      <w:pPr>
        <w:spacing w:after="0" w:line="240" w:lineRule="auto"/>
        <w:jc w:val="both"/>
        <w:rPr>
          <w:rFonts w:ascii="Open Sans Light" w:eastAsia="Times New Roman" w:hAnsi="Open Sans Light" w:cs="Open Sans Light"/>
          <w:b/>
          <w:u w:val="single"/>
        </w:rPr>
      </w:pPr>
      <w:r w:rsidRPr="003E4595">
        <w:rPr>
          <w:rFonts w:ascii="Open Sans Light" w:eastAsia="Times New Roman" w:hAnsi="Open Sans Light" w:cs="Open Sans Light"/>
          <w:b/>
          <w:u w:val="single"/>
        </w:rPr>
        <w:t>Access</w:t>
      </w:r>
      <w:r>
        <w:rPr>
          <w:rFonts w:ascii="Open Sans Light" w:eastAsia="Times New Roman" w:hAnsi="Open Sans Light" w:cs="Open Sans Light"/>
          <w:b/>
          <w:u w:val="single"/>
        </w:rPr>
        <w:t>/Traffic</w:t>
      </w:r>
    </w:p>
    <w:p w14:paraId="4A8C3FAA" w14:textId="77777777" w:rsidR="003E4595" w:rsidRPr="003E4595" w:rsidRDefault="003E4595" w:rsidP="003E4595">
      <w:pPr>
        <w:spacing w:after="0" w:line="240" w:lineRule="auto"/>
        <w:jc w:val="both"/>
        <w:rPr>
          <w:rFonts w:ascii="Open Sans Light" w:eastAsia="Times New Roman" w:hAnsi="Open Sans Light" w:cs="Open Sans Light"/>
          <w:b/>
          <w:u w:val="single"/>
        </w:rPr>
      </w:pPr>
    </w:p>
    <w:p w14:paraId="0173364D" w14:textId="77777777" w:rsidR="00DE7F31" w:rsidRPr="003E4595" w:rsidRDefault="003E4595" w:rsidP="003E4595">
      <w:pPr>
        <w:pStyle w:val="ListParagraph"/>
        <w:spacing w:after="0" w:line="240" w:lineRule="auto"/>
        <w:ind w:hanging="720"/>
        <w:jc w:val="both"/>
        <w:rPr>
          <w:rFonts w:ascii="Open Sans Light" w:eastAsia="Times New Roman" w:hAnsi="Open Sans Light" w:cs="Open Sans Light"/>
        </w:rPr>
      </w:pPr>
      <w:r>
        <w:rPr>
          <w:rFonts w:ascii="Open Sans Light" w:eastAsia="Times New Roman" w:hAnsi="Open Sans Light" w:cs="Open Sans Light"/>
        </w:rPr>
        <w:t>1.</w:t>
      </w:r>
      <w:r>
        <w:rPr>
          <w:rFonts w:ascii="Open Sans Light" w:eastAsia="Times New Roman" w:hAnsi="Open Sans Light" w:cs="Open Sans Light"/>
        </w:rPr>
        <w:tab/>
        <w:t xml:space="preserve"> </w:t>
      </w:r>
      <w:r w:rsidR="00DE7F31" w:rsidRPr="003E4595">
        <w:rPr>
          <w:rFonts w:ascii="Open Sans Light" w:eastAsia="Times New Roman" w:hAnsi="Open Sans Light" w:cs="Open Sans Light"/>
        </w:rPr>
        <w:t>It is noted that the application for the SCC addresses location and access to facilities through nominating site proximity to public transport routes and bus stops, providing access to</w:t>
      </w:r>
      <w:r w:rsidR="00DE7F31" w:rsidRPr="003E4595">
        <w:rPr>
          <w:rFonts w:ascii="Open Sans Light" w:eastAsia="Times New Roman" w:hAnsi="Open Sans Light" w:cs="Open Sans Light"/>
          <w:sz w:val="20"/>
          <w:szCs w:val="20"/>
        </w:rPr>
        <w:t xml:space="preserve"> </w:t>
      </w:r>
      <w:r w:rsidR="00DE7F31" w:rsidRPr="003E4595">
        <w:rPr>
          <w:rFonts w:ascii="Open Sans Light" w:eastAsia="Times New Roman" w:hAnsi="Open Sans Light" w:cs="Open Sans Light"/>
        </w:rPr>
        <w:t xml:space="preserve">Greenhills shopping precinct, </w:t>
      </w:r>
      <w:r w:rsidRPr="003E4595">
        <w:rPr>
          <w:rFonts w:ascii="Open Sans Light" w:eastAsia="Times New Roman" w:hAnsi="Open Sans Light" w:cs="Open Sans Light"/>
        </w:rPr>
        <w:t>Lorn and Central Maitland</w:t>
      </w:r>
      <w:r w:rsidR="00DE7F31" w:rsidRPr="003E4595">
        <w:rPr>
          <w:rFonts w:ascii="Open Sans Light" w:eastAsia="Times New Roman" w:hAnsi="Open Sans Light" w:cs="Open Sans Light"/>
        </w:rPr>
        <w:t xml:space="preserve"> commercial precinct. Bus stops are located on </w:t>
      </w:r>
      <w:r w:rsidRPr="003E4595">
        <w:rPr>
          <w:rFonts w:ascii="Open Sans Light" w:eastAsia="Times New Roman" w:hAnsi="Open Sans Light" w:cs="Open Sans Light"/>
        </w:rPr>
        <w:t>High Street</w:t>
      </w:r>
      <w:r w:rsidR="00DE7F31" w:rsidRPr="003E4595">
        <w:rPr>
          <w:rFonts w:ascii="Open Sans Light" w:eastAsia="Times New Roman" w:hAnsi="Open Sans Light" w:cs="Open Sans Light"/>
        </w:rPr>
        <w:t xml:space="preserve"> </w:t>
      </w:r>
      <w:r w:rsidR="00E75E13">
        <w:rPr>
          <w:rFonts w:ascii="Open Sans Light" w:eastAsia="Times New Roman" w:hAnsi="Open Sans Light" w:cs="Open Sans Light"/>
        </w:rPr>
        <w:t xml:space="preserve">Largs, </w:t>
      </w:r>
      <w:r w:rsidR="00DE7F31" w:rsidRPr="003E4595">
        <w:rPr>
          <w:rFonts w:ascii="Open Sans Light" w:eastAsia="Times New Roman" w:hAnsi="Open Sans Light" w:cs="Open Sans Light"/>
        </w:rPr>
        <w:t xml:space="preserve">within the prescribed distances, however there are no formed or designated pedestrian linkages along </w:t>
      </w:r>
      <w:r>
        <w:rPr>
          <w:rFonts w:ascii="Open Sans Light" w:eastAsia="Times New Roman" w:hAnsi="Open Sans Light" w:cs="Open Sans Light"/>
        </w:rPr>
        <w:t xml:space="preserve">Morpeth Rd or High Street </w:t>
      </w:r>
      <w:r w:rsidR="00DE7F31" w:rsidRPr="003E4595">
        <w:rPr>
          <w:rFonts w:ascii="Open Sans Light" w:eastAsia="Times New Roman" w:hAnsi="Open Sans Light" w:cs="Open Sans Light"/>
        </w:rPr>
        <w:t>to meet the required access standards identified in cl.26of the SEPP. Compliance with the design and construction standards for the pedestrian path network would need to be demonstrated in detail as part of any future development assessment process.</w:t>
      </w:r>
      <w:r>
        <w:rPr>
          <w:rFonts w:ascii="Open Sans Light" w:eastAsia="Times New Roman" w:hAnsi="Open Sans Light" w:cs="Open Sans Light"/>
        </w:rPr>
        <w:t xml:space="preserve"> </w:t>
      </w:r>
      <w:r w:rsidR="009131D4">
        <w:rPr>
          <w:rFonts w:ascii="Open Sans Light" w:eastAsia="Times New Roman" w:hAnsi="Open Sans Light" w:cs="Open Sans Light"/>
        </w:rPr>
        <w:t>It is noted that a private bus service will be provided on site for residents to access wider services not located in the immediat</w:t>
      </w:r>
      <w:r w:rsidR="00235959">
        <w:rPr>
          <w:rFonts w:ascii="Open Sans Light" w:eastAsia="Times New Roman" w:hAnsi="Open Sans Light" w:cs="Open Sans Light"/>
        </w:rPr>
        <w:t>e locality of Largs, eg medical centre.</w:t>
      </w:r>
    </w:p>
    <w:p w14:paraId="3BF6DDC6" w14:textId="77777777" w:rsidR="00DE7F31" w:rsidRPr="00977C44" w:rsidRDefault="00DE7F31" w:rsidP="00DE7F31">
      <w:pPr>
        <w:pStyle w:val="ListParagraph"/>
        <w:rPr>
          <w:rFonts w:ascii="Open Sans Light" w:eastAsia="Times New Roman" w:hAnsi="Open Sans Light" w:cs="Open Sans Light"/>
        </w:rPr>
      </w:pPr>
    </w:p>
    <w:p w14:paraId="28157B1D" w14:textId="6D14AD67" w:rsidR="00235959" w:rsidRPr="00415830" w:rsidRDefault="00DE7F31" w:rsidP="00235959">
      <w:pPr>
        <w:pStyle w:val="ListParagraph"/>
        <w:numPr>
          <w:ilvl w:val="0"/>
          <w:numId w:val="1"/>
        </w:numPr>
        <w:spacing w:after="0" w:line="240" w:lineRule="auto"/>
        <w:ind w:hanging="720"/>
        <w:jc w:val="both"/>
        <w:rPr>
          <w:rFonts w:ascii="Open Sans Light" w:eastAsia="Times New Roman" w:hAnsi="Open Sans Light" w:cs="Open Sans Light"/>
        </w:rPr>
      </w:pPr>
      <w:r w:rsidRPr="009131D4">
        <w:rPr>
          <w:rFonts w:ascii="Open Sans Light" w:eastAsia="Times New Roman" w:hAnsi="Open Sans Light" w:cs="Open Sans Light"/>
        </w:rPr>
        <w:t xml:space="preserve">The subject land gains access from </w:t>
      </w:r>
      <w:r w:rsidR="00E42A66" w:rsidRPr="009131D4">
        <w:rPr>
          <w:rFonts w:ascii="Open Sans Light" w:eastAsia="Times New Roman" w:hAnsi="Open Sans Light" w:cs="Open Sans Light"/>
        </w:rPr>
        <w:t>Phoenix Park Rd</w:t>
      </w:r>
      <w:r w:rsidRPr="009131D4">
        <w:rPr>
          <w:rFonts w:ascii="Open Sans Light" w:eastAsia="Times New Roman" w:hAnsi="Open Sans Light" w:cs="Open Sans Light"/>
        </w:rPr>
        <w:t xml:space="preserve">. </w:t>
      </w:r>
      <w:r w:rsidR="009131D4" w:rsidRPr="009131D4">
        <w:rPr>
          <w:rFonts w:ascii="Open Sans Light" w:eastAsia="Times New Roman" w:hAnsi="Open Sans Light" w:cs="Open Sans Light"/>
        </w:rPr>
        <w:t>The proposal, including the site layout, identifies six (6) residence</w:t>
      </w:r>
      <w:r w:rsidR="00235959">
        <w:rPr>
          <w:rFonts w:ascii="Open Sans Light" w:eastAsia="Times New Roman" w:hAnsi="Open Sans Light" w:cs="Open Sans Light"/>
        </w:rPr>
        <w:t>s</w:t>
      </w:r>
      <w:r w:rsidR="009131D4" w:rsidRPr="009131D4">
        <w:rPr>
          <w:rFonts w:ascii="Open Sans Light" w:eastAsia="Times New Roman" w:hAnsi="Open Sans Light" w:cs="Open Sans Light"/>
        </w:rPr>
        <w:t xml:space="preserve"> gainin</w:t>
      </w:r>
      <w:r w:rsidR="009131D4">
        <w:rPr>
          <w:rFonts w:ascii="Open Sans Light" w:eastAsia="Times New Roman" w:hAnsi="Open Sans Light" w:cs="Open Sans Light"/>
        </w:rPr>
        <w:t>g access directly from Phoenix P</w:t>
      </w:r>
      <w:r w:rsidR="009131D4" w:rsidRPr="009131D4">
        <w:rPr>
          <w:rFonts w:ascii="Open Sans Light" w:eastAsia="Times New Roman" w:hAnsi="Open Sans Light" w:cs="Open Sans Light"/>
        </w:rPr>
        <w:t xml:space="preserve">ark Rd with no internal access provisions. The configuration of Phoenix Park Rd in this location in not conducive to this outcome or the proposed location </w:t>
      </w:r>
      <w:r w:rsidR="009131D4">
        <w:rPr>
          <w:rFonts w:ascii="Open Sans Light" w:eastAsia="Times New Roman" w:hAnsi="Open Sans Light" w:cs="Open Sans Light"/>
        </w:rPr>
        <w:t>o</w:t>
      </w:r>
      <w:r w:rsidR="009131D4" w:rsidRPr="009131D4">
        <w:rPr>
          <w:rFonts w:ascii="Open Sans Light" w:eastAsia="Times New Roman" w:hAnsi="Open Sans Light" w:cs="Open Sans Light"/>
        </w:rPr>
        <w:t>f the main</w:t>
      </w:r>
      <w:r w:rsidR="009131D4">
        <w:rPr>
          <w:rFonts w:ascii="Open Sans Light" w:eastAsia="Times New Roman" w:hAnsi="Open Sans Light" w:cs="Open Sans Light"/>
        </w:rPr>
        <w:t xml:space="preserve"> </w:t>
      </w:r>
      <w:r w:rsidR="009131D4" w:rsidRPr="009131D4">
        <w:rPr>
          <w:rFonts w:ascii="Open Sans Light" w:eastAsia="Times New Roman" w:hAnsi="Open Sans Light" w:cs="Open Sans Light"/>
        </w:rPr>
        <w:t>entrance</w:t>
      </w:r>
      <w:r w:rsidR="009131D4">
        <w:rPr>
          <w:rFonts w:ascii="Open Sans Light" w:eastAsia="Times New Roman" w:hAnsi="Open Sans Light" w:cs="Open Sans Light"/>
        </w:rPr>
        <w:t>/</w:t>
      </w:r>
      <w:r w:rsidR="009131D4" w:rsidRPr="009131D4">
        <w:rPr>
          <w:rFonts w:ascii="Open Sans Light" w:eastAsia="Times New Roman" w:hAnsi="Open Sans Light" w:cs="Open Sans Light"/>
        </w:rPr>
        <w:t xml:space="preserve"> exit point for the proposal. </w:t>
      </w:r>
      <w:r w:rsidRPr="009131D4">
        <w:rPr>
          <w:rFonts w:ascii="Open Sans Light" w:eastAsia="Times New Roman" w:hAnsi="Open Sans Light" w:cs="Open Sans Light"/>
        </w:rPr>
        <w:t xml:space="preserve">A detailed traffic impact assessment is required </w:t>
      </w:r>
      <w:r w:rsidR="009131D4" w:rsidRPr="009131D4">
        <w:rPr>
          <w:rFonts w:ascii="Open Sans Light" w:eastAsia="Times New Roman" w:hAnsi="Open Sans Light" w:cs="Open Sans Light"/>
        </w:rPr>
        <w:t>and should inc</w:t>
      </w:r>
      <w:r w:rsidR="00235959">
        <w:rPr>
          <w:rFonts w:ascii="Open Sans Light" w:eastAsia="Times New Roman" w:hAnsi="Open Sans Light" w:cs="Open Sans Light"/>
        </w:rPr>
        <w:t>lude a traffic safety analysis with all dwellings gaining access from an internal road network.</w:t>
      </w:r>
    </w:p>
    <w:p w14:paraId="5B20DFE0" w14:textId="77777777" w:rsidR="00235959" w:rsidRDefault="00235959" w:rsidP="00235959">
      <w:pPr>
        <w:spacing w:after="0" w:line="240" w:lineRule="auto"/>
        <w:jc w:val="both"/>
        <w:rPr>
          <w:rFonts w:ascii="Open Sans Light" w:eastAsia="Times New Roman" w:hAnsi="Open Sans Light" w:cs="Open Sans Light"/>
          <w:b/>
          <w:u w:val="single"/>
        </w:rPr>
      </w:pPr>
    </w:p>
    <w:p w14:paraId="17397423" w14:textId="77777777" w:rsidR="00235959" w:rsidRDefault="00235959" w:rsidP="00235959">
      <w:pPr>
        <w:spacing w:after="0" w:line="240" w:lineRule="auto"/>
        <w:jc w:val="both"/>
        <w:rPr>
          <w:rFonts w:ascii="Open Sans Light" w:eastAsia="Times New Roman" w:hAnsi="Open Sans Light" w:cs="Open Sans Light"/>
        </w:rPr>
      </w:pPr>
      <w:r w:rsidRPr="00235959">
        <w:rPr>
          <w:rFonts w:ascii="Open Sans Light" w:eastAsia="Times New Roman" w:hAnsi="Open Sans Light" w:cs="Open Sans Light"/>
          <w:b/>
          <w:u w:val="single"/>
        </w:rPr>
        <w:t>Locality and Built Form</w:t>
      </w:r>
    </w:p>
    <w:p w14:paraId="12291B70" w14:textId="77777777" w:rsidR="00235959" w:rsidRDefault="00235959" w:rsidP="00235959">
      <w:pPr>
        <w:spacing w:after="0" w:line="240" w:lineRule="auto"/>
        <w:jc w:val="both"/>
        <w:rPr>
          <w:rFonts w:ascii="Open Sans Light" w:eastAsia="Times New Roman" w:hAnsi="Open Sans Light" w:cs="Open Sans Light"/>
        </w:rPr>
      </w:pPr>
    </w:p>
    <w:p w14:paraId="4E0E5E6B" w14:textId="3EDEEF3E" w:rsidR="00235959" w:rsidRPr="00235959" w:rsidRDefault="00235959" w:rsidP="00235959">
      <w:pPr>
        <w:pStyle w:val="ListParagraph"/>
        <w:numPr>
          <w:ilvl w:val="0"/>
          <w:numId w:val="4"/>
        </w:numPr>
        <w:spacing w:after="0" w:line="240" w:lineRule="auto"/>
        <w:ind w:hanging="720"/>
        <w:jc w:val="both"/>
        <w:rPr>
          <w:rFonts w:ascii="Open Sans Light" w:eastAsia="Times New Roman" w:hAnsi="Open Sans Light" w:cs="Open Sans Light"/>
        </w:rPr>
      </w:pPr>
      <w:r>
        <w:rPr>
          <w:rFonts w:ascii="Open Sans Light" w:eastAsia="Times New Roman" w:hAnsi="Open Sans Light" w:cs="Open Sans Light"/>
        </w:rPr>
        <w:t>The supporting information has not adequately addressed the context of the proposal in the wider rural environment or potential land use conflicts. A more detailed visual and adjoining land use analysis is required.</w:t>
      </w:r>
      <w:r w:rsidR="00415830">
        <w:rPr>
          <w:rFonts w:ascii="Open Sans Light" w:eastAsia="Times New Roman" w:hAnsi="Open Sans Light" w:cs="Open Sans Light"/>
        </w:rPr>
        <w:t xml:space="preserve"> No consideration has been given to the transaction to the rural land from this medium density land use.</w:t>
      </w:r>
    </w:p>
    <w:p w14:paraId="18491AB2" w14:textId="77777777" w:rsidR="00DE7F31" w:rsidRPr="00977C44" w:rsidRDefault="00DE7F31" w:rsidP="00DE7F31">
      <w:pPr>
        <w:pStyle w:val="ListParagraph"/>
        <w:rPr>
          <w:rFonts w:ascii="Open Sans Light" w:eastAsia="Times New Roman" w:hAnsi="Open Sans Light" w:cs="Open Sans Light"/>
        </w:rPr>
      </w:pPr>
    </w:p>
    <w:p w14:paraId="4791E0C0" w14:textId="77777777" w:rsidR="00DE7F31" w:rsidRPr="00E75E13" w:rsidRDefault="00DE7F31" w:rsidP="00E75E13">
      <w:pPr>
        <w:spacing w:after="0" w:line="240" w:lineRule="auto"/>
        <w:jc w:val="both"/>
        <w:rPr>
          <w:rFonts w:ascii="Open Sans Light" w:eastAsia="Times New Roman" w:hAnsi="Open Sans Light" w:cs="Open Sans Light"/>
        </w:rPr>
      </w:pPr>
      <w:r w:rsidRPr="00E75E13">
        <w:rPr>
          <w:rFonts w:ascii="Open Sans Light" w:eastAsia="Times New Roman" w:hAnsi="Open Sans Light" w:cs="Open Sans Light"/>
        </w:rPr>
        <w:t>Detailed site studies pertaining to the following will need to be submitted with any development application for the site:</w:t>
      </w:r>
    </w:p>
    <w:p w14:paraId="42680788" w14:textId="77777777" w:rsidR="00DE7F31" w:rsidRPr="00977C44" w:rsidRDefault="00DE7F31" w:rsidP="00DE7F31">
      <w:pPr>
        <w:pStyle w:val="ListParagraph"/>
        <w:rPr>
          <w:rFonts w:ascii="Open Sans Light" w:eastAsia="Times New Roman" w:hAnsi="Open Sans Light" w:cs="Open Sans Light"/>
        </w:rPr>
      </w:pPr>
    </w:p>
    <w:p w14:paraId="2BF5C7D2" w14:textId="77777777" w:rsidR="00DE7F31" w:rsidRPr="00977C44" w:rsidRDefault="00DE7F31" w:rsidP="00DE7F31">
      <w:pPr>
        <w:pStyle w:val="ListParagraph"/>
        <w:numPr>
          <w:ilvl w:val="0"/>
          <w:numId w:val="2"/>
        </w:numPr>
        <w:spacing w:after="0" w:line="240" w:lineRule="auto"/>
        <w:jc w:val="both"/>
        <w:rPr>
          <w:rFonts w:ascii="Open Sans Light" w:eastAsia="Times New Roman" w:hAnsi="Open Sans Light" w:cs="Open Sans Light"/>
        </w:rPr>
      </w:pPr>
      <w:r w:rsidRPr="00977C44">
        <w:rPr>
          <w:rFonts w:ascii="Open Sans Light" w:eastAsia="Times New Roman" w:hAnsi="Open Sans Light" w:cs="Open Sans Light"/>
        </w:rPr>
        <w:t>Traffic Impact Assessment</w:t>
      </w:r>
    </w:p>
    <w:p w14:paraId="0EFF8DD9" w14:textId="77777777" w:rsidR="00DE7F31" w:rsidRPr="00977C44" w:rsidRDefault="00DE7F31" w:rsidP="00DE7F31">
      <w:pPr>
        <w:pStyle w:val="ListParagraph"/>
        <w:numPr>
          <w:ilvl w:val="0"/>
          <w:numId w:val="2"/>
        </w:numPr>
        <w:spacing w:after="0" w:line="240" w:lineRule="auto"/>
        <w:jc w:val="both"/>
        <w:rPr>
          <w:rFonts w:ascii="Open Sans Light" w:eastAsia="Times New Roman" w:hAnsi="Open Sans Light" w:cs="Open Sans Light"/>
        </w:rPr>
      </w:pPr>
      <w:r w:rsidRPr="00977C44">
        <w:rPr>
          <w:rFonts w:ascii="Open Sans Light" w:eastAsia="Times New Roman" w:hAnsi="Open Sans Light" w:cs="Open Sans Light"/>
        </w:rPr>
        <w:t>Stormwater Management Plan</w:t>
      </w:r>
    </w:p>
    <w:p w14:paraId="7CF1670A" w14:textId="77777777" w:rsidR="00DE7F31" w:rsidRPr="00977C44" w:rsidRDefault="00DE7F31" w:rsidP="00DE7F31">
      <w:pPr>
        <w:pStyle w:val="ListParagraph"/>
        <w:numPr>
          <w:ilvl w:val="0"/>
          <w:numId w:val="2"/>
        </w:numPr>
        <w:spacing w:after="0" w:line="240" w:lineRule="auto"/>
        <w:jc w:val="both"/>
        <w:rPr>
          <w:rFonts w:ascii="Open Sans Light" w:eastAsia="Times New Roman" w:hAnsi="Open Sans Light" w:cs="Open Sans Light"/>
        </w:rPr>
      </w:pPr>
      <w:r w:rsidRPr="00977C44">
        <w:rPr>
          <w:rFonts w:ascii="Open Sans Light" w:eastAsia="Times New Roman" w:hAnsi="Open Sans Light" w:cs="Open Sans Light"/>
        </w:rPr>
        <w:t>Contamination Report</w:t>
      </w:r>
    </w:p>
    <w:p w14:paraId="540AE716" w14:textId="77777777" w:rsidR="00DE7F31" w:rsidRDefault="00DE7F31" w:rsidP="00DE7F31">
      <w:pPr>
        <w:pStyle w:val="ListParagraph"/>
        <w:numPr>
          <w:ilvl w:val="0"/>
          <w:numId w:val="2"/>
        </w:numPr>
        <w:spacing w:after="0" w:line="240" w:lineRule="auto"/>
        <w:jc w:val="both"/>
        <w:rPr>
          <w:rFonts w:ascii="Open Sans Light" w:eastAsia="Times New Roman" w:hAnsi="Open Sans Light" w:cs="Open Sans Light"/>
        </w:rPr>
      </w:pPr>
      <w:r w:rsidRPr="00977C44">
        <w:rPr>
          <w:rFonts w:ascii="Open Sans Light" w:eastAsia="Times New Roman" w:hAnsi="Open Sans Light" w:cs="Open Sans Light"/>
        </w:rPr>
        <w:t>Site and building design details addressing compliance with the design criteria of the Housing for Seniors or People with a Disability  SEPP</w:t>
      </w:r>
    </w:p>
    <w:p w14:paraId="41502BF5" w14:textId="77777777" w:rsidR="009D107A" w:rsidRDefault="009D107A" w:rsidP="00DE7F31">
      <w:pPr>
        <w:pStyle w:val="ListParagraph"/>
        <w:numPr>
          <w:ilvl w:val="0"/>
          <w:numId w:val="2"/>
        </w:numPr>
        <w:spacing w:after="0" w:line="240" w:lineRule="auto"/>
        <w:jc w:val="both"/>
        <w:rPr>
          <w:rFonts w:ascii="Open Sans Light" w:eastAsia="Times New Roman" w:hAnsi="Open Sans Light" w:cs="Open Sans Light"/>
        </w:rPr>
      </w:pPr>
      <w:r>
        <w:rPr>
          <w:rFonts w:ascii="Open Sans Light" w:eastAsia="Times New Roman" w:hAnsi="Open Sans Light" w:cs="Open Sans Light"/>
        </w:rPr>
        <w:lastRenderedPageBreak/>
        <w:t>Visual Impact Assessment</w:t>
      </w:r>
    </w:p>
    <w:p w14:paraId="3BB31E3C" w14:textId="77777777" w:rsidR="009B0B0E" w:rsidRDefault="009B0B0E" w:rsidP="00DE7F31">
      <w:pPr>
        <w:pStyle w:val="ListParagraph"/>
        <w:numPr>
          <w:ilvl w:val="0"/>
          <w:numId w:val="2"/>
        </w:numPr>
        <w:spacing w:after="0" w:line="240" w:lineRule="auto"/>
        <w:jc w:val="both"/>
        <w:rPr>
          <w:rFonts w:ascii="Open Sans Light" w:eastAsia="Times New Roman" w:hAnsi="Open Sans Light" w:cs="Open Sans Light"/>
        </w:rPr>
      </w:pPr>
      <w:r>
        <w:rPr>
          <w:rFonts w:ascii="Open Sans Light" w:eastAsia="Times New Roman" w:hAnsi="Open Sans Light" w:cs="Open Sans Light"/>
        </w:rPr>
        <w:t>Servicing Strategy</w:t>
      </w:r>
    </w:p>
    <w:p w14:paraId="619BC188" w14:textId="77777777" w:rsidR="009B0B0E" w:rsidRPr="00977C44" w:rsidRDefault="009B0B0E" w:rsidP="00DE7F31">
      <w:pPr>
        <w:pStyle w:val="ListParagraph"/>
        <w:numPr>
          <w:ilvl w:val="0"/>
          <w:numId w:val="2"/>
        </w:numPr>
        <w:spacing w:after="0" w:line="240" w:lineRule="auto"/>
        <w:jc w:val="both"/>
        <w:rPr>
          <w:rFonts w:ascii="Open Sans Light" w:eastAsia="Times New Roman" w:hAnsi="Open Sans Light" w:cs="Open Sans Light"/>
        </w:rPr>
      </w:pPr>
      <w:r>
        <w:rPr>
          <w:rFonts w:ascii="Open Sans Light" w:eastAsia="Times New Roman" w:hAnsi="Open Sans Light" w:cs="Open Sans Light"/>
        </w:rPr>
        <w:t>Land use conflict analysis</w:t>
      </w:r>
    </w:p>
    <w:p w14:paraId="2F5C612A" w14:textId="77777777" w:rsidR="00DE7F31" w:rsidRPr="00977C44" w:rsidRDefault="00DE7F31" w:rsidP="00DE7F31">
      <w:pPr>
        <w:spacing w:after="0" w:line="240" w:lineRule="auto"/>
        <w:jc w:val="both"/>
        <w:rPr>
          <w:rFonts w:ascii="Open Sans Light" w:eastAsia="Times New Roman" w:hAnsi="Open Sans Light" w:cs="Open Sans Light"/>
        </w:rPr>
      </w:pPr>
    </w:p>
    <w:p w14:paraId="07389255" w14:textId="77777777" w:rsidR="00DE7F31" w:rsidRPr="00977C44" w:rsidRDefault="00DE7F31" w:rsidP="00DE7F31">
      <w:pPr>
        <w:rPr>
          <w:rFonts w:ascii="Open Sans Light" w:eastAsia="Times New Roman" w:hAnsi="Open Sans Light" w:cs="Open Sans Light"/>
        </w:rPr>
      </w:pPr>
      <w:r w:rsidRPr="00977C44">
        <w:rPr>
          <w:rFonts w:ascii="Open Sans Light" w:eastAsia="Times New Roman" w:hAnsi="Open Sans Light" w:cs="Open Sans Light"/>
        </w:rPr>
        <w:t>Additional information and</w:t>
      </w:r>
      <w:r>
        <w:rPr>
          <w:rFonts w:ascii="Open Sans Light" w:eastAsia="Times New Roman" w:hAnsi="Open Sans Light" w:cs="Open Sans Light"/>
          <w:sz w:val="20"/>
          <w:szCs w:val="20"/>
        </w:rPr>
        <w:t xml:space="preserve"> </w:t>
      </w:r>
      <w:r w:rsidRPr="00977C44">
        <w:rPr>
          <w:rFonts w:ascii="Open Sans Light" w:eastAsia="Times New Roman" w:hAnsi="Open Sans Light" w:cs="Open Sans Light"/>
        </w:rPr>
        <w:t xml:space="preserve">reports pertaining to the above </w:t>
      </w:r>
      <w:r w:rsidR="009D107A">
        <w:rPr>
          <w:rFonts w:ascii="Open Sans Light" w:eastAsia="Times New Roman" w:hAnsi="Open Sans Light" w:cs="Open Sans Light"/>
        </w:rPr>
        <w:t>listed</w:t>
      </w:r>
      <w:r w:rsidR="0005268F">
        <w:rPr>
          <w:rFonts w:ascii="Open Sans Light" w:eastAsia="Times New Roman" w:hAnsi="Open Sans Light" w:cs="Open Sans Light"/>
        </w:rPr>
        <w:t xml:space="preserve"> </w:t>
      </w:r>
      <w:r w:rsidR="000E240B">
        <w:rPr>
          <w:rFonts w:ascii="Open Sans Light" w:eastAsia="Times New Roman" w:hAnsi="Open Sans Light" w:cs="Open Sans Light"/>
        </w:rPr>
        <w:t>issues</w:t>
      </w:r>
      <w:r w:rsidRPr="00977C44">
        <w:rPr>
          <w:rFonts w:ascii="Open Sans Light" w:eastAsia="Times New Roman" w:hAnsi="Open Sans Light" w:cs="Open Sans Light"/>
        </w:rPr>
        <w:t xml:space="preserve"> will need to be addressed as part of any future development application for the site.</w:t>
      </w:r>
    </w:p>
    <w:p w14:paraId="165DD00B" w14:textId="098CF44B" w:rsidR="00DE7F31" w:rsidRPr="00415830" w:rsidRDefault="00DE7F31" w:rsidP="00415830">
      <w:pPr>
        <w:rPr>
          <w:rFonts w:ascii="Open Sans Light" w:eastAsia="Times New Roman" w:hAnsi="Open Sans Light" w:cs="Open Sans Light"/>
        </w:rPr>
      </w:pPr>
      <w:r w:rsidRPr="00977C44">
        <w:rPr>
          <w:rFonts w:ascii="Open Sans Light" w:eastAsia="Times New Roman" w:hAnsi="Open Sans Light" w:cs="Open Sans Light"/>
        </w:rPr>
        <w:t xml:space="preserve">Should you require any additional information or wish to discuss the matter further please contact Council’s </w:t>
      </w:r>
      <w:r w:rsidR="009D107A">
        <w:rPr>
          <w:rFonts w:ascii="Open Sans Light" w:eastAsia="Times New Roman" w:hAnsi="Open Sans Light" w:cs="Open Sans Light"/>
        </w:rPr>
        <w:t>Mark Roser on 49349848</w:t>
      </w:r>
      <w:r w:rsidRPr="00977C44">
        <w:rPr>
          <w:rFonts w:ascii="Open Sans Light" w:eastAsia="Times New Roman" w:hAnsi="Open Sans Light" w:cs="Open Sans Light"/>
        </w:rPr>
        <w:t>.</w:t>
      </w:r>
    </w:p>
    <w:p w14:paraId="28030532" w14:textId="77777777" w:rsidR="00DE7F31" w:rsidRPr="00804682" w:rsidRDefault="00DE7F31" w:rsidP="00DE7F31">
      <w:pPr>
        <w:spacing w:after="0" w:line="240" w:lineRule="auto"/>
        <w:jc w:val="both"/>
        <w:rPr>
          <w:rFonts w:ascii="Open Sans Light" w:eastAsia="Times New Roman" w:hAnsi="Open Sans Light" w:cs="Open Sans Light"/>
          <w:sz w:val="20"/>
          <w:szCs w:val="20"/>
        </w:rPr>
      </w:pPr>
    </w:p>
    <w:p w14:paraId="16EB28C8" w14:textId="77777777" w:rsidR="00DE7F31" w:rsidRDefault="00DE7F31" w:rsidP="00DE7F31">
      <w:pPr>
        <w:spacing w:after="0" w:line="240" w:lineRule="auto"/>
        <w:rPr>
          <w:rFonts w:ascii="Open Sans Light" w:eastAsia="Times New Roman" w:hAnsi="Open Sans Light" w:cs="Open Sans Light"/>
        </w:rPr>
      </w:pPr>
      <w:r w:rsidRPr="00804682">
        <w:rPr>
          <w:rFonts w:ascii="Open Sans Light" w:eastAsia="Times New Roman" w:hAnsi="Open Sans Light" w:cs="Open Sans Light"/>
        </w:rPr>
        <w:t>Yours sincerely</w:t>
      </w:r>
    </w:p>
    <w:p w14:paraId="56883D6C" w14:textId="77777777" w:rsidR="00DE7F31" w:rsidRDefault="00DE7F31" w:rsidP="00DE7F31">
      <w:pPr>
        <w:spacing w:after="0" w:line="240" w:lineRule="auto"/>
        <w:rPr>
          <w:rFonts w:ascii="Open Sans Light" w:eastAsia="Times New Roman" w:hAnsi="Open Sans Light" w:cs="Open Sans Light"/>
        </w:rPr>
      </w:pPr>
    </w:p>
    <w:p w14:paraId="43A93DFD" w14:textId="77777777" w:rsidR="00480412" w:rsidRDefault="00480412"/>
    <w:p w14:paraId="4EBBE003" w14:textId="77777777" w:rsidR="00977C44" w:rsidRDefault="00977C44"/>
    <w:p w14:paraId="188DA969" w14:textId="77777777" w:rsidR="00977C44" w:rsidRDefault="00977C44"/>
    <w:p w14:paraId="1F7A9123" w14:textId="77777777" w:rsidR="00415830" w:rsidRDefault="000E240B">
      <w:r>
        <w:t>CHRIS JAMES</w:t>
      </w:r>
    </w:p>
    <w:p w14:paraId="226198E2" w14:textId="6C129211" w:rsidR="00977C44" w:rsidRDefault="000E240B">
      <w:r>
        <w:t xml:space="preserve">ACTING </w:t>
      </w:r>
      <w:r w:rsidR="00977C44">
        <w:t>GENERAL MANAGER</w:t>
      </w:r>
    </w:p>
    <w:sectPr w:rsidR="00977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E1F"/>
    <w:multiLevelType w:val="hybridMultilevel"/>
    <w:tmpl w:val="CB225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5856AB"/>
    <w:multiLevelType w:val="hybridMultilevel"/>
    <w:tmpl w:val="2E887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F572D0B"/>
    <w:multiLevelType w:val="hybridMultilevel"/>
    <w:tmpl w:val="00DC3E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6D4853"/>
    <w:multiLevelType w:val="hybridMultilevel"/>
    <w:tmpl w:val="BCCEC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31"/>
    <w:rsid w:val="0005268F"/>
    <w:rsid w:val="000662C2"/>
    <w:rsid w:val="000E240B"/>
    <w:rsid w:val="00153478"/>
    <w:rsid w:val="00235959"/>
    <w:rsid w:val="003B1614"/>
    <w:rsid w:val="003E4595"/>
    <w:rsid w:val="00415830"/>
    <w:rsid w:val="00480412"/>
    <w:rsid w:val="004A3FE3"/>
    <w:rsid w:val="00657F84"/>
    <w:rsid w:val="00693A85"/>
    <w:rsid w:val="009131D4"/>
    <w:rsid w:val="00952478"/>
    <w:rsid w:val="00977C44"/>
    <w:rsid w:val="00993974"/>
    <w:rsid w:val="009B0B0E"/>
    <w:rsid w:val="009D107A"/>
    <w:rsid w:val="00B80F35"/>
    <w:rsid w:val="00C25C8B"/>
    <w:rsid w:val="00C60C04"/>
    <w:rsid w:val="00D5649C"/>
    <w:rsid w:val="00DD0503"/>
    <w:rsid w:val="00DE7F31"/>
    <w:rsid w:val="00E42A66"/>
    <w:rsid w:val="00E75E13"/>
    <w:rsid w:val="00EF5B1E"/>
    <w:rsid w:val="00FA7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CBD"/>
  <w15:docId w15:val="{CB7287B1-C531-4392-8ABD-25D7F7D9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F31"/>
    <w:pPr>
      <w:ind w:left="720"/>
      <w:contextualSpacing/>
    </w:pPr>
  </w:style>
  <w:style w:type="paragraph" w:styleId="BalloonText">
    <w:name w:val="Balloon Text"/>
    <w:basedOn w:val="Normal"/>
    <w:link w:val="BalloonTextChar"/>
    <w:uiPriority w:val="99"/>
    <w:semiHidden/>
    <w:unhideWhenUsed/>
    <w:rsid w:val="003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Roser</dc:creator>
  <cp:lastModifiedBy>Ken Phelan</cp:lastModifiedBy>
  <cp:revision>2</cp:revision>
  <cp:lastPrinted>2019-09-05T05:52:00Z</cp:lastPrinted>
  <dcterms:created xsi:type="dcterms:W3CDTF">2020-12-03T03:09:00Z</dcterms:created>
  <dcterms:modified xsi:type="dcterms:W3CDTF">2020-12-03T03:09:00Z</dcterms:modified>
</cp:coreProperties>
</file>